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061BBB1D" w:rsidR="00CE4614" w:rsidRDefault="00CE4614" w:rsidP="00C723BD">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6714B5">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Izzi </w:t>
      </w:r>
      <w:r w:rsidR="00611D8A" w:rsidRPr="00CE4614">
        <w:rPr>
          <w:rFonts w:ascii="Arial" w:hAnsi="Arial" w:cs="Arial"/>
          <w:b/>
          <w:sz w:val="28"/>
          <w:szCs w:val="28"/>
        </w:rPr>
        <w:t>Seccombe</w:t>
      </w:r>
      <w:r w:rsidRPr="00CE4614">
        <w:rPr>
          <w:rFonts w:ascii="Arial" w:hAnsi="Arial" w:cs="Arial"/>
          <w:b/>
          <w:sz w:val="28"/>
          <w:szCs w:val="28"/>
        </w:rPr>
        <w:t xml:space="preserve"> (Chair</w:t>
      </w:r>
      <w:r w:rsidR="00B577E4">
        <w:rPr>
          <w:rFonts w:ascii="Arial" w:hAnsi="Arial" w:cs="Arial"/>
          <w:b/>
          <w:sz w:val="28"/>
          <w:szCs w:val="28"/>
        </w:rPr>
        <w:t>man</w:t>
      </w:r>
      <w:r w:rsidRPr="00CE4614">
        <w:rPr>
          <w:rFonts w:ascii="Arial" w:hAnsi="Arial" w:cs="Arial"/>
          <w:b/>
          <w:sz w:val="28"/>
          <w:szCs w:val="28"/>
        </w:rPr>
        <w:t>)</w:t>
      </w:r>
    </w:p>
    <w:p w14:paraId="202CDC90" w14:textId="77777777" w:rsidR="00C723BD" w:rsidRDefault="00C723BD" w:rsidP="00C723BD">
      <w:pPr>
        <w:spacing w:after="0" w:line="240" w:lineRule="auto"/>
        <w:rPr>
          <w:rFonts w:ascii="Arial" w:hAnsi="Arial" w:cs="Arial"/>
          <w:b/>
        </w:rPr>
      </w:pPr>
    </w:p>
    <w:p w14:paraId="6ECB1BD2" w14:textId="77777777" w:rsidR="00577C2C" w:rsidRDefault="002200C4" w:rsidP="00577C2C">
      <w:pPr>
        <w:spacing w:after="0" w:line="240" w:lineRule="auto"/>
        <w:rPr>
          <w:rFonts w:ascii="Arial" w:hAnsi="Arial" w:cs="Arial"/>
          <w:b/>
          <w:bCs/>
        </w:rPr>
      </w:pPr>
      <w:r>
        <w:rPr>
          <w:rFonts w:ascii="Arial" w:hAnsi="Arial" w:cs="Arial"/>
          <w:b/>
          <w:bCs/>
        </w:rPr>
        <w:t>Community Wellbeing Board Away Day</w:t>
      </w:r>
    </w:p>
    <w:p w14:paraId="4B1B87D4" w14:textId="00F74386" w:rsidR="002200C4" w:rsidRPr="002200C4" w:rsidRDefault="002200C4" w:rsidP="00577C2C">
      <w:pPr>
        <w:pStyle w:val="ListParagraph"/>
        <w:numPr>
          <w:ilvl w:val="0"/>
          <w:numId w:val="10"/>
        </w:numPr>
        <w:spacing w:after="0" w:line="240" w:lineRule="auto"/>
        <w:rPr>
          <w:rFonts w:ascii="Arial" w:hAnsi="Arial" w:cs="Arial"/>
          <w:bCs/>
        </w:rPr>
      </w:pPr>
      <w:r w:rsidRPr="002200C4">
        <w:rPr>
          <w:rFonts w:ascii="Arial" w:hAnsi="Arial" w:cs="Arial"/>
          <w:bCs/>
        </w:rPr>
        <w:t>On Friday 7 October the Board met for the first time this meeting cycle to discuss our priorities for 2016-17 and hear from guest speakers on a variety of topics related to the Board</w:t>
      </w:r>
      <w:r w:rsidR="003B276F">
        <w:rPr>
          <w:rFonts w:ascii="Arial" w:hAnsi="Arial" w:cs="Arial"/>
          <w:bCs/>
        </w:rPr>
        <w:t>s</w:t>
      </w:r>
      <w:r w:rsidRPr="002200C4">
        <w:rPr>
          <w:rFonts w:ascii="Arial" w:hAnsi="Arial" w:cs="Arial"/>
          <w:bCs/>
        </w:rPr>
        <w:t xml:space="preserve"> work</w:t>
      </w:r>
      <w:r>
        <w:rPr>
          <w:rFonts w:ascii="Arial" w:hAnsi="Arial" w:cs="Arial"/>
          <w:bCs/>
        </w:rPr>
        <w:t xml:space="preserve">, such as the future of </w:t>
      </w:r>
      <w:r w:rsidRPr="00577C2C">
        <w:rPr>
          <w:rFonts w:ascii="Arial" w:hAnsi="Arial" w:cs="Arial"/>
        </w:rPr>
        <w:t>integration</w:t>
      </w:r>
      <w:r>
        <w:rPr>
          <w:rFonts w:ascii="Arial" w:hAnsi="Arial" w:cs="Arial"/>
          <w:bCs/>
        </w:rPr>
        <w:t>, adult social care funding, public health and prevention, and homelessness</w:t>
      </w:r>
      <w:r w:rsidRPr="002200C4">
        <w:rPr>
          <w:rFonts w:ascii="Arial" w:hAnsi="Arial" w:cs="Arial"/>
          <w:bCs/>
        </w:rPr>
        <w:t xml:space="preserve">. </w:t>
      </w:r>
      <w:r>
        <w:rPr>
          <w:rFonts w:ascii="Arial" w:hAnsi="Arial" w:cs="Arial"/>
          <w:bCs/>
        </w:rPr>
        <w:t xml:space="preserve">Members heard perspectives on the various topics from Stephen Dorrell (Chair of NHS Confederation), John Jackson (ADASS Resources Lead), Frank Ursell (Char of the Care Providers Alliance), Shirley Cramer CBE (Chief Executive of the Royal Society of Public Health, Paul Plant (Deputy Director at Public Health England), David Buck (Senior Fellow at the Kings Fund) and Gill Leng (Public Health England national adviser on health and homes). </w:t>
      </w:r>
    </w:p>
    <w:p w14:paraId="20D886FC" w14:textId="77777777" w:rsidR="002200C4" w:rsidRDefault="002200C4" w:rsidP="00C723BD">
      <w:pPr>
        <w:spacing w:after="0" w:line="240" w:lineRule="auto"/>
        <w:rPr>
          <w:rFonts w:ascii="Arial" w:hAnsi="Arial" w:cs="Arial"/>
          <w:b/>
          <w:bCs/>
        </w:rPr>
      </w:pPr>
    </w:p>
    <w:p w14:paraId="037A0BA8" w14:textId="7D056AC5" w:rsidR="00C723BD" w:rsidRDefault="00C723BD" w:rsidP="00C723BD">
      <w:pPr>
        <w:spacing w:after="0" w:line="240" w:lineRule="auto"/>
        <w:rPr>
          <w:rFonts w:ascii="Arial" w:hAnsi="Arial" w:cs="Arial"/>
          <w:b/>
          <w:bCs/>
        </w:rPr>
      </w:pPr>
      <w:r w:rsidRPr="00C723BD">
        <w:rPr>
          <w:rFonts w:ascii="Arial" w:hAnsi="Arial" w:cs="Arial"/>
          <w:b/>
          <w:bCs/>
        </w:rPr>
        <w:t>Armed forces</w:t>
      </w:r>
    </w:p>
    <w:p w14:paraId="47374362" w14:textId="357C04F3" w:rsidR="00C723BD" w:rsidRPr="002200C4" w:rsidRDefault="00C723BD" w:rsidP="002200C4">
      <w:pPr>
        <w:pStyle w:val="ListParagraph"/>
        <w:numPr>
          <w:ilvl w:val="0"/>
          <w:numId w:val="10"/>
        </w:numPr>
        <w:spacing w:after="0" w:line="240" w:lineRule="auto"/>
        <w:rPr>
          <w:rFonts w:ascii="Arial" w:hAnsi="Arial" w:cs="Arial"/>
        </w:rPr>
      </w:pPr>
      <w:r w:rsidRPr="002200C4">
        <w:rPr>
          <w:rFonts w:ascii="Arial" w:hAnsi="Arial" w:cs="Arial"/>
        </w:rPr>
        <w:t>On 22 July 2016 Cllr Richard Kemp chaired a round table discussion with representatives of the armed forces and Directors of public health to explore opportunities for working closer together.</w:t>
      </w:r>
    </w:p>
    <w:p w14:paraId="2B0B73AC" w14:textId="77777777" w:rsidR="00C723BD" w:rsidRDefault="00C723BD" w:rsidP="00C723BD">
      <w:pPr>
        <w:spacing w:after="0" w:line="240" w:lineRule="auto"/>
        <w:rPr>
          <w:rFonts w:ascii="Arial" w:hAnsi="Arial" w:cs="Arial"/>
        </w:rPr>
      </w:pPr>
    </w:p>
    <w:p w14:paraId="2E20D235" w14:textId="3DD1AED6" w:rsidR="00C723BD" w:rsidRPr="00C723BD" w:rsidRDefault="00C723BD" w:rsidP="002200C4">
      <w:pPr>
        <w:pStyle w:val="ListParagraph"/>
        <w:numPr>
          <w:ilvl w:val="0"/>
          <w:numId w:val="10"/>
        </w:numPr>
        <w:spacing w:after="0" w:line="240" w:lineRule="auto"/>
        <w:rPr>
          <w:rFonts w:ascii="Arial" w:hAnsi="Arial" w:cs="Arial"/>
        </w:rPr>
      </w:pPr>
      <w:r w:rsidRPr="00C723BD">
        <w:rPr>
          <w:rFonts w:ascii="Arial" w:hAnsi="Arial" w:cs="Arial"/>
        </w:rPr>
        <w:t>At the end of August we published the joint report with Forces in Mind Trust – “</w:t>
      </w:r>
      <w:hyperlink r:id="rId11" w:history="1">
        <w:r w:rsidRPr="00C723BD">
          <w:rPr>
            <w:rStyle w:val="Hyperlink"/>
            <w:rFonts w:ascii="Arial" w:hAnsi="Arial" w:cs="Arial"/>
          </w:rPr>
          <w:t>Our Community, Our Covenant”-</w:t>
        </w:r>
      </w:hyperlink>
      <w:r w:rsidRPr="00C723BD">
        <w:rPr>
          <w:rFonts w:ascii="Arial" w:hAnsi="Arial" w:cs="Arial"/>
        </w:rPr>
        <w:t xml:space="preserve"> a report into the local implementation of the armed forces covenant, recommendations for improvement and sharing examples of good practice.  It has been very well received by the armed forces community, Government as well as councils, and we look forward to taking the recommendations in the report forward.</w:t>
      </w:r>
    </w:p>
    <w:p w14:paraId="3C2CF94C" w14:textId="77777777" w:rsidR="00C723BD" w:rsidRPr="00C723BD" w:rsidRDefault="00C723BD" w:rsidP="00C723BD">
      <w:pPr>
        <w:spacing w:after="0" w:line="240" w:lineRule="auto"/>
        <w:rPr>
          <w:rFonts w:ascii="Arial" w:hAnsi="Arial" w:cs="Arial"/>
        </w:rPr>
      </w:pPr>
    </w:p>
    <w:p w14:paraId="7C1DDA8F" w14:textId="506F3BAD" w:rsidR="00C723BD" w:rsidRDefault="00C723BD" w:rsidP="00C723BD">
      <w:pPr>
        <w:spacing w:after="0" w:line="240" w:lineRule="auto"/>
        <w:rPr>
          <w:rFonts w:ascii="Arial" w:hAnsi="Arial" w:cs="Arial"/>
          <w:b/>
          <w:bCs/>
        </w:rPr>
      </w:pPr>
      <w:r w:rsidRPr="00C723BD">
        <w:rPr>
          <w:rFonts w:ascii="Arial" w:hAnsi="Arial" w:cs="Arial"/>
          <w:b/>
          <w:bCs/>
        </w:rPr>
        <w:t>Carers</w:t>
      </w:r>
    </w:p>
    <w:p w14:paraId="42A95F48" w14:textId="30C958CD" w:rsidR="00C723BD" w:rsidRPr="00C723BD" w:rsidRDefault="00C723BD" w:rsidP="002200C4">
      <w:pPr>
        <w:pStyle w:val="ListParagraph"/>
        <w:numPr>
          <w:ilvl w:val="0"/>
          <w:numId w:val="10"/>
        </w:numPr>
        <w:spacing w:after="0" w:line="240" w:lineRule="auto"/>
        <w:rPr>
          <w:rFonts w:ascii="Arial" w:hAnsi="Arial" w:cs="Arial"/>
        </w:rPr>
      </w:pPr>
      <w:r w:rsidRPr="00C723BD">
        <w:rPr>
          <w:rFonts w:ascii="Arial" w:hAnsi="Arial" w:cs="Arial"/>
        </w:rPr>
        <w:t xml:space="preserve">We submitted our call for evidence to inform the development </w:t>
      </w:r>
      <w:r w:rsidRPr="004D339A">
        <w:rPr>
          <w:rFonts w:ascii="Arial" w:hAnsi="Arial" w:cs="Arial"/>
        </w:rPr>
        <w:t xml:space="preserve">of the </w:t>
      </w:r>
      <w:hyperlink r:id="rId12" w:history="1">
        <w:r w:rsidR="004D339A" w:rsidRPr="004D339A">
          <w:rPr>
            <w:rStyle w:val="Hyperlink"/>
            <w:rFonts w:ascii="Arial" w:hAnsi="Arial" w:cs="Arial"/>
          </w:rPr>
          <w:t>Carers Strategy</w:t>
        </w:r>
      </w:hyperlink>
      <w:r w:rsidR="004D339A" w:rsidRPr="004D339A">
        <w:rPr>
          <w:rFonts w:ascii="Arial" w:hAnsi="Arial" w:cs="Arial"/>
        </w:rPr>
        <w:t xml:space="preserve"> </w:t>
      </w:r>
      <w:r w:rsidRPr="004D339A">
        <w:rPr>
          <w:rFonts w:ascii="Arial" w:hAnsi="Arial" w:cs="Arial"/>
        </w:rPr>
        <w:t>to</w:t>
      </w:r>
      <w:r w:rsidRPr="00C723BD">
        <w:rPr>
          <w:rFonts w:ascii="Arial" w:hAnsi="Arial" w:cs="Arial"/>
        </w:rPr>
        <w:t xml:space="preserve"> the Department of Health. We focused on the opportunities of Carer Friendly Communities and the importance of health support to carers as well as those cared for. </w:t>
      </w:r>
    </w:p>
    <w:p w14:paraId="76B929D7" w14:textId="77777777" w:rsidR="00C723BD" w:rsidRPr="00C723BD" w:rsidRDefault="00C723BD" w:rsidP="00C723BD">
      <w:pPr>
        <w:spacing w:after="0" w:line="240" w:lineRule="auto"/>
        <w:rPr>
          <w:rFonts w:ascii="Arial" w:hAnsi="Arial" w:cs="Arial"/>
        </w:rPr>
      </w:pPr>
    </w:p>
    <w:p w14:paraId="38871165" w14:textId="77777777" w:rsidR="00C723BD" w:rsidRDefault="00C723BD" w:rsidP="00C723BD">
      <w:pPr>
        <w:spacing w:after="0" w:line="240" w:lineRule="auto"/>
        <w:rPr>
          <w:rFonts w:ascii="Arial" w:hAnsi="Arial" w:cs="Arial"/>
          <w:b/>
          <w:bCs/>
        </w:rPr>
      </w:pPr>
      <w:r w:rsidRPr="00C723BD">
        <w:rPr>
          <w:rFonts w:ascii="Arial" w:hAnsi="Arial" w:cs="Arial"/>
          <w:b/>
          <w:bCs/>
        </w:rPr>
        <w:t>Learning disabilities and autism</w:t>
      </w:r>
    </w:p>
    <w:p w14:paraId="20569870" w14:textId="77777777" w:rsidR="00C723BD" w:rsidRPr="00C723BD" w:rsidRDefault="00C723BD" w:rsidP="00C723BD">
      <w:pPr>
        <w:spacing w:after="0" w:line="240" w:lineRule="auto"/>
        <w:rPr>
          <w:rFonts w:ascii="Arial" w:hAnsi="Arial" w:cs="Arial"/>
          <w:b/>
          <w:bCs/>
        </w:rPr>
      </w:pPr>
    </w:p>
    <w:p w14:paraId="30B325EF" w14:textId="2C1A2502" w:rsidR="00C723BD" w:rsidRPr="00C723BD" w:rsidRDefault="00C723BD" w:rsidP="002200C4">
      <w:pPr>
        <w:pStyle w:val="ListParagraph"/>
        <w:numPr>
          <w:ilvl w:val="0"/>
          <w:numId w:val="10"/>
        </w:numPr>
        <w:spacing w:after="0" w:line="240" w:lineRule="auto"/>
        <w:rPr>
          <w:rFonts w:ascii="Arial" w:hAnsi="Arial" w:cs="Arial"/>
          <w:lang w:val="en"/>
        </w:rPr>
      </w:pPr>
      <w:r w:rsidRPr="00C723BD">
        <w:rPr>
          <w:rFonts w:ascii="Arial" w:hAnsi="Arial" w:cs="Arial"/>
        </w:rPr>
        <w:t xml:space="preserve">Cllr Jackie Meldrum represented the CWB Board at the National Learning Disabilities Board on 19 July, meeting the new parliamentary-under-secretary for social care, David </w:t>
      </w:r>
      <w:proofErr w:type="spellStart"/>
      <w:r w:rsidRPr="00C723BD">
        <w:rPr>
          <w:rFonts w:ascii="Arial" w:hAnsi="Arial" w:cs="Arial"/>
        </w:rPr>
        <w:t>Mowat</w:t>
      </w:r>
      <w:proofErr w:type="spellEnd"/>
      <w:r w:rsidRPr="00C723BD">
        <w:rPr>
          <w:rFonts w:ascii="Arial" w:hAnsi="Arial" w:cs="Arial"/>
        </w:rPr>
        <w:t xml:space="preserve">, on his first day in the job. Cllr Meldrum will also be chairing the LGA’s event on Autism: </w:t>
      </w:r>
      <w:hyperlink r:id="rId13" w:history="1">
        <w:r w:rsidRPr="00C723BD">
          <w:rPr>
            <w:rStyle w:val="Hyperlink"/>
            <w:rFonts w:ascii="Arial" w:hAnsi="Arial" w:cs="Arial"/>
            <w:lang w:val="en"/>
          </w:rPr>
          <w:t xml:space="preserve">Think Autism: Supporting the person, their family and their </w:t>
        </w:r>
        <w:proofErr w:type="spellStart"/>
        <w:r w:rsidRPr="00C723BD">
          <w:rPr>
            <w:rStyle w:val="Hyperlink"/>
            <w:rFonts w:ascii="Arial" w:hAnsi="Arial" w:cs="Arial"/>
            <w:lang w:val="en"/>
          </w:rPr>
          <w:t>carers</w:t>
        </w:r>
        <w:proofErr w:type="spellEnd"/>
      </w:hyperlink>
      <w:r w:rsidRPr="00C723BD">
        <w:rPr>
          <w:rFonts w:ascii="Arial" w:hAnsi="Arial" w:cs="Arial"/>
          <w:lang w:val="en"/>
        </w:rPr>
        <w:t xml:space="preserve"> – being held on Wednesday 23 November in London.</w:t>
      </w:r>
    </w:p>
    <w:p w14:paraId="63C31E49" w14:textId="77777777" w:rsidR="00C723BD" w:rsidRPr="00C723BD" w:rsidRDefault="00C723BD" w:rsidP="00C723BD">
      <w:pPr>
        <w:spacing w:after="0" w:line="240" w:lineRule="auto"/>
        <w:rPr>
          <w:rFonts w:ascii="Arial" w:hAnsi="Arial" w:cs="Arial"/>
          <w:lang w:val="en"/>
        </w:rPr>
      </w:pPr>
    </w:p>
    <w:p w14:paraId="256D8F7B" w14:textId="7F200793" w:rsidR="00C723BD" w:rsidRDefault="00C723BD" w:rsidP="00C723BD">
      <w:pPr>
        <w:spacing w:after="0" w:line="240" w:lineRule="auto"/>
        <w:rPr>
          <w:rFonts w:ascii="Arial" w:hAnsi="Arial" w:cs="Arial"/>
          <w:b/>
          <w:bCs/>
          <w:lang w:val="en"/>
        </w:rPr>
      </w:pPr>
      <w:r w:rsidRPr="00C723BD">
        <w:rPr>
          <w:rFonts w:ascii="Arial" w:hAnsi="Arial" w:cs="Arial"/>
          <w:b/>
          <w:bCs/>
          <w:lang w:val="en"/>
        </w:rPr>
        <w:t>Children and Young People’s Mental Health</w:t>
      </w:r>
    </w:p>
    <w:p w14:paraId="3EE84186" w14:textId="0FE418A8" w:rsidR="00C723BD" w:rsidRPr="00C723BD" w:rsidRDefault="00C723BD" w:rsidP="002200C4">
      <w:pPr>
        <w:pStyle w:val="ListParagraph"/>
        <w:numPr>
          <w:ilvl w:val="0"/>
          <w:numId w:val="10"/>
        </w:numPr>
        <w:spacing w:after="0" w:line="240" w:lineRule="auto"/>
        <w:rPr>
          <w:rFonts w:ascii="Arial" w:hAnsi="Arial" w:cs="Arial"/>
        </w:rPr>
      </w:pPr>
      <w:r w:rsidRPr="00C723BD">
        <w:rPr>
          <w:rFonts w:ascii="Arial" w:hAnsi="Arial" w:cs="Arial"/>
          <w:lang w:val="en"/>
        </w:rPr>
        <w:t xml:space="preserve">We undertook a survey into the opinions of Directors of Children’s Services into the provision of mental health services at a local level, with a focus on the impact of the </w:t>
      </w:r>
      <w:hyperlink r:id="rId14" w:history="1">
        <w:r w:rsidRPr="00C723BD">
          <w:rPr>
            <w:rStyle w:val="Hyperlink"/>
            <w:rFonts w:ascii="Arial" w:hAnsi="Arial" w:cs="Arial"/>
            <w:lang w:val="en"/>
          </w:rPr>
          <w:t>Local Transformation Plans</w:t>
        </w:r>
      </w:hyperlink>
      <w:r w:rsidRPr="00C723BD">
        <w:rPr>
          <w:rFonts w:ascii="Arial" w:hAnsi="Arial" w:cs="Arial"/>
          <w:lang w:val="en"/>
        </w:rPr>
        <w:t>.  The results will form part of a ‘state of nation’-style report into Children and Young Peoples’ mental health, services and support, and the role of councils, due for publication in December 2016. This is alongside the development of a wider LGA campaign on Children and Young People’s mental health.</w:t>
      </w:r>
    </w:p>
    <w:p w14:paraId="6F268D04" w14:textId="77777777" w:rsidR="00C723BD" w:rsidRPr="00C723BD" w:rsidRDefault="00C723BD" w:rsidP="00C723BD">
      <w:pPr>
        <w:spacing w:after="0" w:line="240" w:lineRule="auto"/>
        <w:rPr>
          <w:rFonts w:ascii="Arial" w:hAnsi="Arial" w:cs="Arial"/>
        </w:rPr>
      </w:pPr>
    </w:p>
    <w:p w14:paraId="77261887" w14:textId="59551CCE" w:rsidR="00C723BD" w:rsidRDefault="00C723BD" w:rsidP="00C723BD">
      <w:pPr>
        <w:spacing w:after="0" w:line="240" w:lineRule="auto"/>
        <w:rPr>
          <w:rFonts w:ascii="Arial" w:hAnsi="Arial" w:cs="Arial"/>
          <w:b/>
          <w:bCs/>
        </w:rPr>
      </w:pPr>
      <w:r w:rsidRPr="00C723BD">
        <w:rPr>
          <w:rFonts w:ascii="Arial" w:hAnsi="Arial" w:cs="Arial"/>
          <w:b/>
          <w:bCs/>
        </w:rPr>
        <w:t>Supported Housing for vulnerable people</w:t>
      </w:r>
    </w:p>
    <w:p w14:paraId="741655F4" w14:textId="45F1A42D" w:rsidR="00C723BD" w:rsidRPr="00C723BD" w:rsidRDefault="00C723BD" w:rsidP="002200C4">
      <w:pPr>
        <w:pStyle w:val="ListParagraph"/>
        <w:numPr>
          <w:ilvl w:val="0"/>
          <w:numId w:val="10"/>
        </w:numPr>
        <w:spacing w:after="0" w:line="240" w:lineRule="auto"/>
        <w:rPr>
          <w:rFonts w:ascii="Arial" w:hAnsi="Arial" w:cs="Arial"/>
        </w:rPr>
      </w:pPr>
      <w:r w:rsidRPr="00C723BD">
        <w:rPr>
          <w:rFonts w:ascii="Arial" w:hAnsi="Arial" w:cs="Arial"/>
        </w:rPr>
        <w:t xml:space="preserve">After much representation from the LGA, Government announced that they would not be introducing the Local Housing Allowance cap on rents for </w:t>
      </w:r>
      <w:hyperlink r:id="rId15" w:history="1">
        <w:r w:rsidRPr="00C723BD">
          <w:rPr>
            <w:rStyle w:val="Hyperlink"/>
            <w:rFonts w:ascii="Arial" w:hAnsi="Arial" w:cs="Arial"/>
          </w:rPr>
          <w:t>supported housing</w:t>
        </w:r>
      </w:hyperlink>
      <w:r w:rsidRPr="00C723BD">
        <w:rPr>
          <w:rFonts w:ascii="Arial" w:hAnsi="Arial" w:cs="Arial"/>
        </w:rPr>
        <w:t xml:space="preserve"> until 2019, when they would be introducing a new funding model for the sector, that is likely to involve a ring-fenced grant going to councils to commission supported housing. The LGA </w:t>
      </w:r>
      <w:hyperlink r:id="rId16" w:history="1">
        <w:r w:rsidRPr="00C723BD">
          <w:rPr>
            <w:rStyle w:val="Hyperlink"/>
            <w:rFonts w:ascii="Arial" w:hAnsi="Arial" w:cs="Arial"/>
          </w:rPr>
          <w:t>responded to the announcement</w:t>
        </w:r>
      </w:hyperlink>
      <w:r w:rsidRPr="00C723BD">
        <w:rPr>
          <w:rFonts w:ascii="Arial" w:hAnsi="Arial" w:cs="Arial"/>
        </w:rPr>
        <w:t xml:space="preserve"> and we are awaiting the publication of the fuller consultation, due out imminently. Cllr Jackie Meldrum also spoke at the National Housing Federation’s annual conference on </w:t>
      </w:r>
      <w:hyperlink r:id="rId17" w:history="1">
        <w:r w:rsidRPr="00C723BD">
          <w:rPr>
            <w:rStyle w:val="Hyperlink"/>
            <w:rFonts w:ascii="Arial" w:hAnsi="Arial" w:cs="Arial"/>
          </w:rPr>
          <w:t>Health and Housing</w:t>
        </w:r>
      </w:hyperlink>
      <w:r w:rsidRPr="00C723BD">
        <w:rPr>
          <w:rFonts w:ascii="Arial" w:hAnsi="Arial" w:cs="Arial"/>
        </w:rPr>
        <w:t xml:space="preserve"> in Birmingham on housing and councils working together to improve health. </w:t>
      </w:r>
    </w:p>
    <w:p w14:paraId="0D3136C7" w14:textId="77777777" w:rsidR="00C723BD" w:rsidRPr="00C723BD" w:rsidRDefault="00C723BD" w:rsidP="00C723BD">
      <w:pPr>
        <w:spacing w:after="0" w:line="240" w:lineRule="auto"/>
        <w:rPr>
          <w:rFonts w:ascii="Arial" w:hAnsi="Arial" w:cs="Arial"/>
          <w:b/>
        </w:rPr>
      </w:pPr>
    </w:p>
    <w:p w14:paraId="3605674C" w14:textId="31BDA7A5" w:rsidR="00C723BD" w:rsidRPr="002200C4" w:rsidRDefault="00C723BD" w:rsidP="00C723BD">
      <w:pPr>
        <w:spacing w:after="0" w:line="240" w:lineRule="auto"/>
        <w:rPr>
          <w:rFonts w:ascii="Arial" w:hAnsi="Arial" w:cs="Arial"/>
          <w:b/>
          <w:bCs/>
        </w:rPr>
      </w:pPr>
      <w:r w:rsidRPr="00C723BD">
        <w:rPr>
          <w:rFonts w:ascii="Arial" w:hAnsi="Arial" w:cs="Arial"/>
          <w:b/>
          <w:bCs/>
        </w:rPr>
        <w:lastRenderedPageBreak/>
        <w:t>Dementia</w:t>
      </w:r>
    </w:p>
    <w:p w14:paraId="1EC5D829" w14:textId="507781E1" w:rsidR="00C723BD" w:rsidRPr="00C723BD" w:rsidRDefault="00C723BD" w:rsidP="002200C4">
      <w:pPr>
        <w:pStyle w:val="ListParagraph"/>
        <w:numPr>
          <w:ilvl w:val="0"/>
          <w:numId w:val="10"/>
        </w:numPr>
        <w:spacing w:after="0" w:line="240" w:lineRule="auto"/>
        <w:rPr>
          <w:rFonts w:ascii="Arial" w:hAnsi="Arial" w:cs="Arial"/>
        </w:rPr>
      </w:pPr>
      <w:r w:rsidRPr="00C723BD">
        <w:rPr>
          <w:rFonts w:ascii="Arial" w:hAnsi="Arial" w:cs="Arial"/>
        </w:rPr>
        <w:t xml:space="preserve">In July 2016 </w:t>
      </w:r>
      <w:r>
        <w:rPr>
          <w:rFonts w:ascii="Arial" w:hAnsi="Arial" w:cs="Arial"/>
        </w:rPr>
        <w:t>Cllr</w:t>
      </w:r>
      <w:r w:rsidRPr="00C723BD">
        <w:rPr>
          <w:rFonts w:ascii="Arial" w:hAnsi="Arial" w:cs="Arial"/>
        </w:rPr>
        <w:t xml:space="preserve"> Gillian Ford co-chaired the PM Challenge on Dementia 2020 (Public Services) thematic group teleconference and in August 2016 Councillor Gillian Ford was a judge for the Alzheimer Society’s Dementia Friendly Awards.</w:t>
      </w:r>
    </w:p>
    <w:p w14:paraId="27026294" w14:textId="77777777" w:rsidR="00C723BD" w:rsidRPr="00C723BD" w:rsidRDefault="00C723BD" w:rsidP="00C723BD">
      <w:pPr>
        <w:spacing w:after="0" w:line="240" w:lineRule="auto"/>
        <w:rPr>
          <w:rFonts w:ascii="Arial" w:hAnsi="Arial" w:cs="Arial"/>
        </w:rPr>
      </w:pPr>
    </w:p>
    <w:p w14:paraId="218C9EC2" w14:textId="0ED83095" w:rsidR="00C723BD" w:rsidRPr="00C723BD" w:rsidRDefault="00C723BD" w:rsidP="002200C4">
      <w:pPr>
        <w:pStyle w:val="ListParagraph"/>
        <w:numPr>
          <w:ilvl w:val="0"/>
          <w:numId w:val="10"/>
        </w:numPr>
        <w:spacing w:after="0" w:line="240" w:lineRule="auto"/>
        <w:rPr>
          <w:rFonts w:ascii="Arial" w:hAnsi="Arial" w:cs="Arial"/>
        </w:rPr>
      </w:pPr>
      <w:r w:rsidRPr="00C723BD">
        <w:rPr>
          <w:rFonts w:ascii="Arial" w:hAnsi="Arial" w:cs="Arial"/>
        </w:rPr>
        <w:t xml:space="preserve">In August and September 2016 </w:t>
      </w:r>
      <w:r>
        <w:rPr>
          <w:rFonts w:ascii="Arial" w:hAnsi="Arial" w:cs="Arial"/>
        </w:rPr>
        <w:t>Cllr</w:t>
      </w:r>
      <w:r w:rsidRPr="00C723BD">
        <w:rPr>
          <w:rFonts w:ascii="Arial" w:hAnsi="Arial" w:cs="Arial"/>
        </w:rPr>
        <w:t xml:space="preserve"> Jackie Meldrum attended the Prime Minster Challenge on Dementia 2020 Citizens Engagement Programme Task and Finish advisory group. The purpose of the group is provide advice on engaging with citizens to find out if the PM Challenge is making a difference to the lives of people with dementia and carers.</w:t>
      </w:r>
    </w:p>
    <w:p w14:paraId="2AB34DE5" w14:textId="77777777" w:rsidR="00C723BD" w:rsidRPr="00C723BD" w:rsidRDefault="00C723BD" w:rsidP="00C723BD">
      <w:pPr>
        <w:spacing w:after="0" w:line="240" w:lineRule="auto"/>
        <w:rPr>
          <w:rFonts w:ascii="Arial" w:hAnsi="Arial" w:cs="Arial"/>
        </w:rPr>
      </w:pPr>
    </w:p>
    <w:p w14:paraId="0858AF6C" w14:textId="691F23E7" w:rsidR="00C723BD" w:rsidRPr="002200C4" w:rsidRDefault="00C723BD" w:rsidP="00C723BD">
      <w:pPr>
        <w:spacing w:after="0" w:line="240" w:lineRule="auto"/>
        <w:rPr>
          <w:rFonts w:ascii="Arial" w:hAnsi="Arial" w:cs="Arial"/>
          <w:b/>
          <w:bCs/>
        </w:rPr>
      </w:pPr>
      <w:r w:rsidRPr="00C723BD">
        <w:rPr>
          <w:rFonts w:ascii="Arial" w:hAnsi="Arial" w:cs="Arial"/>
          <w:b/>
          <w:bCs/>
        </w:rPr>
        <w:t>Personalisation</w:t>
      </w:r>
    </w:p>
    <w:p w14:paraId="5801809E" w14:textId="3F3A4E48" w:rsidR="00C723BD" w:rsidRPr="00C723BD" w:rsidRDefault="00C723BD" w:rsidP="002200C4">
      <w:pPr>
        <w:pStyle w:val="ListParagraph"/>
        <w:numPr>
          <w:ilvl w:val="0"/>
          <w:numId w:val="10"/>
        </w:numPr>
        <w:spacing w:after="0" w:line="240" w:lineRule="auto"/>
        <w:rPr>
          <w:rFonts w:ascii="Arial" w:hAnsi="Arial" w:cs="Arial"/>
        </w:rPr>
      </w:pPr>
      <w:r w:rsidRPr="00C723BD">
        <w:rPr>
          <w:rFonts w:ascii="Arial" w:hAnsi="Arial" w:cs="Arial"/>
        </w:rPr>
        <w:t xml:space="preserve">In September 2016 </w:t>
      </w:r>
      <w:r>
        <w:rPr>
          <w:rFonts w:ascii="Arial" w:hAnsi="Arial" w:cs="Arial"/>
        </w:rPr>
        <w:t>Cllr</w:t>
      </w:r>
      <w:r w:rsidRPr="00C723BD">
        <w:rPr>
          <w:rFonts w:ascii="Arial" w:hAnsi="Arial" w:cs="Arial"/>
        </w:rPr>
        <w:t xml:space="preserve"> Colin Noble attended the Think Local Act Personal (TLAP) Programme. An output of the programme is the publication: ‘Engaging and empowering communities - Our shared commitment and call to action’. This will be published at NCAS.  </w:t>
      </w:r>
    </w:p>
    <w:p w14:paraId="4CB01A1E" w14:textId="77777777" w:rsidR="00C723BD" w:rsidRPr="00C723BD" w:rsidRDefault="00C723BD" w:rsidP="00C723BD">
      <w:pPr>
        <w:spacing w:after="0" w:line="240" w:lineRule="auto"/>
        <w:rPr>
          <w:rFonts w:ascii="Arial" w:hAnsi="Arial" w:cs="Arial"/>
          <w:b/>
          <w:bCs/>
        </w:rPr>
      </w:pPr>
    </w:p>
    <w:p w14:paraId="4B92A92A" w14:textId="772D2FD6" w:rsidR="00C723BD" w:rsidRPr="002200C4" w:rsidRDefault="00C723BD" w:rsidP="00C723BD">
      <w:pPr>
        <w:spacing w:after="0" w:line="240" w:lineRule="auto"/>
        <w:rPr>
          <w:rFonts w:ascii="Arial" w:hAnsi="Arial" w:cs="Arial"/>
          <w:b/>
          <w:bCs/>
        </w:rPr>
      </w:pPr>
      <w:r w:rsidRPr="00C723BD">
        <w:rPr>
          <w:rFonts w:ascii="Arial" w:hAnsi="Arial" w:cs="Arial"/>
          <w:b/>
          <w:bCs/>
        </w:rPr>
        <w:t xml:space="preserve">Mandated Health Visitor Checks </w:t>
      </w:r>
    </w:p>
    <w:p w14:paraId="58AE38A2" w14:textId="2E2606A4" w:rsidR="0047733B" w:rsidRPr="00C723BD" w:rsidRDefault="00C723BD" w:rsidP="0031784F">
      <w:pPr>
        <w:pStyle w:val="ListParagraph"/>
        <w:numPr>
          <w:ilvl w:val="0"/>
          <w:numId w:val="10"/>
        </w:numPr>
        <w:autoSpaceDE w:val="0"/>
        <w:autoSpaceDN w:val="0"/>
        <w:spacing w:after="0" w:line="240" w:lineRule="auto"/>
        <w:rPr>
          <w:rFonts w:ascii="Arial" w:hAnsi="Arial" w:cs="Arial"/>
        </w:rPr>
      </w:pPr>
      <w:r>
        <w:rPr>
          <w:rFonts w:ascii="Arial" w:hAnsi="Arial" w:cs="Arial"/>
          <w:color w:val="000000"/>
        </w:rPr>
        <w:t>Cllr Izzi Seccombe (Community Wellbeing Board</w:t>
      </w:r>
      <w:r w:rsidR="006714B5">
        <w:rPr>
          <w:rFonts w:ascii="Arial" w:hAnsi="Arial" w:cs="Arial"/>
          <w:color w:val="000000"/>
        </w:rPr>
        <w:t xml:space="preserve"> Chairman</w:t>
      </w:r>
      <w:r>
        <w:rPr>
          <w:rFonts w:ascii="Arial" w:hAnsi="Arial" w:cs="Arial"/>
          <w:color w:val="000000"/>
        </w:rPr>
        <w:t xml:space="preserve">) and </w:t>
      </w:r>
      <w:r w:rsidRPr="00C723BD">
        <w:rPr>
          <w:rFonts w:ascii="Arial" w:hAnsi="Arial" w:cs="Arial"/>
          <w:color w:val="000000"/>
        </w:rPr>
        <w:t>Cllr Richard Watts (Chair of the Children a</w:t>
      </w:r>
      <w:r>
        <w:rPr>
          <w:rFonts w:ascii="Arial" w:hAnsi="Arial" w:cs="Arial"/>
          <w:color w:val="000000"/>
        </w:rPr>
        <w:t xml:space="preserve">nd Young People’s Board) </w:t>
      </w:r>
      <w:r w:rsidRPr="00C723BD">
        <w:rPr>
          <w:rFonts w:ascii="Arial" w:hAnsi="Arial" w:cs="Arial"/>
          <w:color w:val="000000"/>
        </w:rPr>
        <w:t xml:space="preserve">have written to Nicola Blackwood MP, (Parliamentary Under Secretary of State for Public Health and Innovation) requesting that the Government does not make a decision about the </w:t>
      </w:r>
      <w:proofErr w:type="spellStart"/>
      <w:r w:rsidRPr="00C723BD">
        <w:rPr>
          <w:rFonts w:ascii="Arial" w:hAnsi="Arial" w:cs="Arial"/>
          <w:color w:val="000000"/>
        </w:rPr>
        <w:t>mandation</w:t>
      </w:r>
      <w:proofErr w:type="spellEnd"/>
      <w:r w:rsidRPr="00C723BD">
        <w:rPr>
          <w:rFonts w:ascii="Arial" w:hAnsi="Arial" w:cs="Arial"/>
          <w:color w:val="000000"/>
        </w:rPr>
        <w:t xml:space="preserve"> of health visiting services in isolation. We have proposed that a collective review of all mandated public health services delivered by local councils should be undertaken next year. This will help to ensure that councils are not forced to redirect existing public health budgets to mandated services and that within the context of a reduced funding envelope, there is local flexibility to determine how to target available resources. We have invited the Minister to meet with us discuss this proposal further. </w:t>
      </w:r>
    </w:p>
    <w:p w14:paraId="363F0C04" w14:textId="77777777" w:rsidR="00C723BD" w:rsidRDefault="00C723BD" w:rsidP="0031784F">
      <w:pPr>
        <w:spacing w:after="0" w:line="240" w:lineRule="auto"/>
        <w:rPr>
          <w:rFonts w:ascii="Arial" w:hAnsi="Arial" w:cs="Arial"/>
          <w:b/>
        </w:rPr>
      </w:pPr>
    </w:p>
    <w:p w14:paraId="35C13BCB" w14:textId="77977D5D" w:rsidR="0031784F" w:rsidRPr="0031784F" w:rsidRDefault="0031784F" w:rsidP="0031784F">
      <w:pPr>
        <w:spacing w:after="0" w:line="240" w:lineRule="auto"/>
        <w:rPr>
          <w:rFonts w:ascii="Arial" w:hAnsi="Arial" w:cs="Arial"/>
          <w:b/>
        </w:rPr>
      </w:pPr>
      <w:r w:rsidRPr="0031784F">
        <w:rPr>
          <w:rFonts w:ascii="Arial" w:hAnsi="Arial" w:cs="Arial"/>
          <w:b/>
        </w:rPr>
        <w:t>Kings Fund Annual Integration and Care Summit</w:t>
      </w:r>
    </w:p>
    <w:p w14:paraId="7BB8D4CA" w14:textId="1AF2B2A4" w:rsidR="0031784F" w:rsidRPr="0031784F" w:rsidRDefault="0031784F" w:rsidP="0031784F">
      <w:pPr>
        <w:pStyle w:val="ListParagraph"/>
        <w:numPr>
          <w:ilvl w:val="0"/>
          <w:numId w:val="10"/>
        </w:numPr>
        <w:spacing w:after="0" w:line="240" w:lineRule="auto"/>
        <w:rPr>
          <w:rFonts w:ascii="Arial" w:hAnsi="Arial" w:cs="Arial"/>
        </w:rPr>
      </w:pPr>
      <w:r w:rsidRPr="0031784F">
        <w:rPr>
          <w:rFonts w:ascii="Arial" w:hAnsi="Arial" w:cs="Arial"/>
        </w:rPr>
        <w:t>Cllr Izzi Seccombe recently represented the Board at the King’s Fund annual Integration and Care Summit, which explored the ways NHS organisations and their partners can collaborate in order to meet the needs of the population they serve. It also focused on the work being done to develop sustainability and transformation plans and how place-based systems offer can enable commissioners and providers to collaborate in response to the pressures they are faced with.</w:t>
      </w:r>
    </w:p>
    <w:p w14:paraId="7CC8320E" w14:textId="77777777" w:rsidR="0031784F" w:rsidRPr="00C723BD" w:rsidRDefault="0031784F" w:rsidP="00C723BD">
      <w:pPr>
        <w:spacing w:after="0" w:line="240" w:lineRule="auto"/>
        <w:rPr>
          <w:rFonts w:ascii="Arial" w:hAnsi="Arial" w:cs="Arial"/>
          <w:b/>
        </w:rPr>
      </w:pPr>
    </w:p>
    <w:p w14:paraId="187917A0" w14:textId="24E16372" w:rsidR="00C723BD" w:rsidRDefault="005E5DA2" w:rsidP="00C723BD">
      <w:pPr>
        <w:spacing w:after="0" w:line="240" w:lineRule="auto"/>
        <w:rPr>
          <w:rFonts w:ascii="Arial" w:hAnsi="Arial" w:cs="Arial"/>
          <w:b/>
        </w:rPr>
      </w:pPr>
      <w:r w:rsidRPr="00C723BD">
        <w:rPr>
          <w:rFonts w:ascii="Arial" w:hAnsi="Arial" w:cs="Arial"/>
          <w:b/>
        </w:rPr>
        <w:t>Press Releases and Statements</w:t>
      </w:r>
    </w:p>
    <w:p w14:paraId="563C90A7" w14:textId="66998311" w:rsidR="00D64491" w:rsidRPr="00C723BD" w:rsidRDefault="00C723BD" w:rsidP="002200C4">
      <w:pPr>
        <w:pStyle w:val="ListParagraph"/>
        <w:numPr>
          <w:ilvl w:val="0"/>
          <w:numId w:val="10"/>
        </w:numPr>
        <w:spacing w:after="0" w:line="240" w:lineRule="auto"/>
        <w:rPr>
          <w:rFonts w:ascii="Arial" w:hAnsi="Arial" w:cs="Arial"/>
        </w:rPr>
      </w:pPr>
      <w:r>
        <w:rPr>
          <w:rFonts w:ascii="Arial" w:hAnsi="Arial" w:cs="Arial"/>
        </w:rPr>
        <w:t xml:space="preserve">We </w:t>
      </w:r>
      <w:r w:rsidR="005E5DA2" w:rsidRPr="00C723BD">
        <w:rPr>
          <w:rFonts w:ascii="Arial" w:hAnsi="Arial" w:cs="Arial"/>
        </w:rPr>
        <w:t>have r</w:t>
      </w:r>
      <w:r w:rsidR="0093308E">
        <w:rPr>
          <w:rFonts w:ascii="Arial" w:hAnsi="Arial" w:cs="Arial"/>
        </w:rPr>
        <w:t xml:space="preserve">ecently made public statements on a report by the </w:t>
      </w:r>
      <w:hyperlink r:id="rId18" w:history="1">
        <w:r w:rsidR="0093308E" w:rsidRPr="0093308E">
          <w:rPr>
            <w:rStyle w:val="Hyperlink"/>
            <w:rFonts w:ascii="Arial" w:hAnsi="Arial" w:cs="Arial"/>
          </w:rPr>
          <w:t>Children’s Commissioner on school nurses</w:t>
        </w:r>
      </w:hyperlink>
      <w:r w:rsidR="0093308E">
        <w:rPr>
          <w:rFonts w:ascii="Arial" w:hAnsi="Arial" w:cs="Arial"/>
        </w:rPr>
        <w:t xml:space="preserve">, </w:t>
      </w:r>
      <w:hyperlink r:id="rId19" w:history="1">
        <w:r w:rsidR="0093308E" w:rsidRPr="0093308E">
          <w:rPr>
            <w:rStyle w:val="Hyperlink"/>
            <w:rFonts w:ascii="Arial" w:hAnsi="Arial" w:cs="Arial"/>
          </w:rPr>
          <w:t>latest diabetes figures</w:t>
        </w:r>
      </w:hyperlink>
      <w:r w:rsidR="0093308E">
        <w:rPr>
          <w:rFonts w:ascii="Arial" w:hAnsi="Arial" w:cs="Arial"/>
        </w:rPr>
        <w:t xml:space="preserve">, </w:t>
      </w:r>
      <w:hyperlink r:id="rId20" w:history="1">
        <w:r w:rsidR="0093308E" w:rsidRPr="0093308E">
          <w:rPr>
            <w:rStyle w:val="Hyperlink"/>
            <w:rFonts w:ascii="Arial" w:hAnsi="Arial" w:cs="Arial"/>
          </w:rPr>
          <w:t>the Kings Fund report on social care</w:t>
        </w:r>
      </w:hyperlink>
      <w:r w:rsidR="0093308E">
        <w:rPr>
          <w:rFonts w:ascii="Arial" w:hAnsi="Arial" w:cs="Arial"/>
        </w:rPr>
        <w:t xml:space="preserve">, </w:t>
      </w:r>
      <w:hyperlink r:id="rId21" w:history="1">
        <w:r w:rsidR="0093308E" w:rsidRPr="0093308E">
          <w:rPr>
            <w:rStyle w:val="Hyperlink"/>
            <w:rFonts w:ascii="Arial" w:hAnsi="Arial" w:cs="Arial"/>
          </w:rPr>
          <w:t>latest immunisation figures,</w:t>
        </w:r>
      </w:hyperlink>
      <w:r w:rsidR="0093308E">
        <w:rPr>
          <w:rFonts w:ascii="Arial" w:hAnsi="Arial" w:cs="Arial"/>
        </w:rPr>
        <w:t xml:space="preserve"> </w:t>
      </w:r>
      <w:hyperlink r:id="rId22" w:history="1">
        <w:r w:rsidR="0093308E" w:rsidRPr="0093308E">
          <w:rPr>
            <w:rStyle w:val="Hyperlink"/>
            <w:rFonts w:ascii="Arial" w:hAnsi="Arial" w:cs="Arial"/>
          </w:rPr>
          <w:t>latest dental statistics</w:t>
        </w:r>
      </w:hyperlink>
      <w:r w:rsidR="0093308E">
        <w:rPr>
          <w:rFonts w:ascii="Arial" w:hAnsi="Arial" w:cs="Arial"/>
        </w:rPr>
        <w:t xml:space="preserve">, </w:t>
      </w:r>
      <w:hyperlink r:id="rId23" w:history="1">
        <w:r w:rsidR="0093308E" w:rsidRPr="0093308E">
          <w:rPr>
            <w:rStyle w:val="Hyperlink"/>
            <w:rFonts w:ascii="Arial" w:hAnsi="Arial" w:cs="Arial"/>
          </w:rPr>
          <w:t>the PACAC report on unsafe discharge from hospital,</w:t>
        </w:r>
      </w:hyperlink>
      <w:r w:rsidR="0093308E">
        <w:rPr>
          <w:rFonts w:ascii="Arial" w:hAnsi="Arial" w:cs="Arial"/>
        </w:rPr>
        <w:t xml:space="preserve"> </w:t>
      </w:r>
      <w:hyperlink r:id="rId24" w:history="1">
        <w:r w:rsidR="0093308E" w:rsidRPr="0093308E">
          <w:rPr>
            <w:rStyle w:val="Hyperlink"/>
            <w:rFonts w:ascii="Arial" w:hAnsi="Arial" w:cs="Arial"/>
          </w:rPr>
          <w:t>latest Deprivation of Liberty Safeguards statistics published by NHS Digital</w:t>
        </w:r>
      </w:hyperlink>
      <w:r w:rsidR="0093308E">
        <w:rPr>
          <w:rFonts w:ascii="Arial" w:hAnsi="Arial" w:cs="Arial"/>
        </w:rPr>
        <w:t xml:space="preserve">, and </w:t>
      </w:r>
      <w:hyperlink r:id="rId25" w:history="1">
        <w:r w:rsidR="0093308E" w:rsidRPr="0093308E">
          <w:rPr>
            <w:rStyle w:val="Hyperlink"/>
            <w:rFonts w:ascii="Arial" w:hAnsi="Arial" w:cs="Arial"/>
          </w:rPr>
          <w:t>drug misuse death statistics</w:t>
        </w:r>
      </w:hyperlink>
      <w:r w:rsidR="0093308E">
        <w:rPr>
          <w:rFonts w:ascii="Arial" w:hAnsi="Arial" w:cs="Arial"/>
        </w:rPr>
        <w:t xml:space="preserve">. The LGA has also called for the </w:t>
      </w:r>
      <w:hyperlink r:id="rId26" w:history="1">
        <w:r w:rsidR="0093308E" w:rsidRPr="0093308E">
          <w:rPr>
            <w:rStyle w:val="Hyperlink"/>
            <w:rFonts w:ascii="Arial" w:hAnsi="Arial" w:cs="Arial"/>
          </w:rPr>
          <w:t>prescription of exercise to reduce obesity</w:t>
        </w:r>
      </w:hyperlink>
      <w:r w:rsidR="0093308E">
        <w:rPr>
          <w:rFonts w:ascii="Arial" w:hAnsi="Arial" w:cs="Arial"/>
        </w:rPr>
        <w:t xml:space="preserve">, and </w:t>
      </w:r>
      <w:hyperlink r:id="rId27" w:history="1">
        <w:r w:rsidR="006714B5">
          <w:rPr>
            <w:rStyle w:val="Hyperlink"/>
            <w:rFonts w:ascii="Arial" w:hAnsi="Arial" w:cs="Arial"/>
          </w:rPr>
          <w:t>mandatory use of traffic light labelling on food &amp; drink to show nutritional content</w:t>
        </w:r>
      </w:hyperlink>
      <w:bookmarkStart w:id="0" w:name="_GoBack"/>
      <w:bookmarkEnd w:id="0"/>
      <w:r w:rsidR="0093308E">
        <w:rPr>
          <w:rFonts w:ascii="Arial" w:hAnsi="Arial" w:cs="Arial"/>
        </w:rPr>
        <w:t xml:space="preserve">. </w:t>
      </w: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639B96B9" w14:textId="77777777" w:rsidTr="00D64491">
        <w:trPr>
          <w:trHeight w:val="131"/>
        </w:trPr>
        <w:tc>
          <w:tcPr>
            <w:tcW w:w="3174" w:type="dxa"/>
          </w:tcPr>
          <w:p w14:paraId="439D2A35"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639B96B6" w14:textId="7777777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788C187B"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639B96B8" w14:textId="5575CE10"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639B96BC" w14:textId="77777777" w:rsidTr="00D64491">
        <w:trPr>
          <w:trHeight w:val="131"/>
        </w:trPr>
        <w:tc>
          <w:tcPr>
            <w:tcW w:w="3174" w:type="dxa"/>
          </w:tcPr>
          <w:p w14:paraId="639B96BA"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Position: </w:t>
            </w:r>
          </w:p>
        </w:tc>
        <w:tc>
          <w:tcPr>
            <w:tcW w:w="4193" w:type="dxa"/>
          </w:tcPr>
          <w:p w14:paraId="639B96BB" w14:textId="2E5958F6" w:rsidR="0047646A" w:rsidRPr="00C723BD" w:rsidRDefault="0093308E"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47646A" w:rsidRPr="00C723BD" w14:paraId="639B96BF" w14:textId="77777777" w:rsidTr="00D64491">
        <w:trPr>
          <w:trHeight w:val="131"/>
        </w:trPr>
        <w:tc>
          <w:tcPr>
            <w:tcW w:w="3174" w:type="dxa"/>
          </w:tcPr>
          <w:p w14:paraId="639B96BD"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639B96BE" w14:textId="2EBAB954"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39B96C2" w14:textId="77777777" w:rsidTr="00D64491">
        <w:trPr>
          <w:trHeight w:val="131"/>
        </w:trPr>
        <w:tc>
          <w:tcPr>
            <w:tcW w:w="3174" w:type="dxa"/>
          </w:tcPr>
          <w:p w14:paraId="639B96C0"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39B96C1" w14:textId="3FB6172C" w:rsidR="0047646A" w:rsidRPr="00C723BD" w:rsidRDefault="006714B5" w:rsidP="0079142D">
            <w:pPr>
              <w:autoSpaceDE w:val="0"/>
              <w:autoSpaceDN w:val="0"/>
              <w:adjustRightInd w:val="0"/>
              <w:spacing w:before="120" w:after="0" w:line="240" w:lineRule="auto"/>
              <w:rPr>
                <w:rFonts w:ascii="Arial" w:hAnsi="Arial" w:cs="Arial"/>
                <w:color w:val="000000"/>
              </w:rPr>
            </w:pPr>
            <w:hyperlink r:id="rId28"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39B96C3" w14:textId="77777777" w:rsidR="00045988" w:rsidRPr="00C723BD" w:rsidRDefault="00045988" w:rsidP="004F357B">
      <w:pPr>
        <w:spacing w:line="240" w:lineRule="auto"/>
        <w:rPr>
          <w:rFonts w:ascii="Arial" w:hAnsi="Arial" w:cs="Arial"/>
        </w:rPr>
      </w:pPr>
    </w:p>
    <w:sectPr w:rsidR="00045988" w:rsidRPr="00C723BD" w:rsidSect="0031784F">
      <w:headerReference w:type="default" r:id="rId29"/>
      <w:pgSz w:w="11906" w:h="16838"/>
      <w:pgMar w:top="567" w:right="1134" w:bottom="567" w:left="1134" w:header="56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2200C4" w:rsidRDefault="002200C4" w:rsidP="0047646A">
      <w:pPr>
        <w:spacing w:after="0" w:line="240" w:lineRule="auto"/>
      </w:pPr>
      <w:r>
        <w:separator/>
      </w:r>
    </w:p>
  </w:endnote>
  <w:endnote w:type="continuationSeparator" w:id="0">
    <w:p w14:paraId="589880D9" w14:textId="77777777" w:rsidR="002200C4" w:rsidRDefault="002200C4"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8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2200C4" w:rsidRDefault="002200C4" w:rsidP="0047646A">
      <w:pPr>
        <w:spacing w:after="0" w:line="240" w:lineRule="auto"/>
      </w:pPr>
      <w:r>
        <w:separator/>
      </w:r>
    </w:p>
  </w:footnote>
  <w:footnote w:type="continuationSeparator" w:id="0">
    <w:p w14:paraId="1CBDDA68" w14:textId="77777777" w:rsidR="002200C4" w:rsidRDefault="002200C4"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237"/>
      <w:gridCol w:w="3050"/>
    </w:tblGrid>
    <w:tr w:rsidR="002200C4" w14:paraId="639B96CB" w14:textId="77777777" w:rsidTr="00577C2C">
      <w:trPr>
        <w:trHeight w:val="142"/>
      </w:trPr>
      <w:tc>
        <w:tcPr>
          <w:tcW w:w="6237" w:type="dxa"/>
          <w:vMerge w:val="restart"/>
        </w:tcPr>
        <w:p w14:paraId="639B96C8" w14:textId="77777777" w:rsidR="002200C4" w:rsidRDefault="002200C4"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35765A6C">
                <wp:simplePos x="0" y="0"/>
                <wp:positionH relativeFrom="column">
                  <wp:posOffset>47625</wp:posOffset>
                </wp:positionH>
                <wp:positionV relativeFrom="paragraph">
                  <wp:posOffset>0</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2200C4" w:rsidRDefault="002200C4" w:rsidP="00F003D5">
          <w:pPr>
            <w:pStyle w:val="Header"/>
            <w:rPr>
              <w:rFonts w:ascii="Arial" w:hAnsi="Arial" w:cs="Arial"/>
            </w:rPr>
          </w:pPr>
        </w:p>
      </w:tc>
      <w:tc>
        <w:tcPr>
          <w:tcW w:w="3050" w:type="dxa"/>
          <w:hideMark/>
        </w:tcPr>
        <w:p w14:paraId="14346DCE" w14:textId="77777777" w:rsidR="00577C2C" w:rsidRDefault="00577C2C" w:rsidP="00F003D5">
          <w:pPr>
            <w:pStyle w:val="Header"/>
            <w:rPr>
              <w:rFonts w:ascii="Arial" w:hAnsi="Arial" w:cs="Arial"/>
              <w:b/>
            </w:rPr>
          </w:pPr>
        </w:p>
        <w:p w14:paraId="3A654670" w14:textId="77777777" w:rsidR="00577C2C" w:rsidRDefault="00577C2C" w:rsidP="00F003D5">
          <w:pPr>
            <w:pStyle w:val="Header"/>
            <w:rPr>
              <w:rFonts w:ascii="Arial" w:hAnsi="Arial" w:cs="Arial"/>
              <w:b/>
            </w:rPr>
          </w:pPr>
        </w:p>
        <w:p w14:paraId="639B96CA" w14:textId="77777777" w:rsidR="002200C4" w:rsidRDefault="002200C4" w:rsidP="00F003D5">
          <w:pPr>
            <w:pStyle w:val="Header"/>
            <w:rPr>
              <w:rFonts w:ascii="Arial" w:hAnsi="Arial" w:cs="Arial"/>
              <w:b/>
            </w:rPr>
          </w:pPr>
          <w:r>
            <w:rPr>
              <w:rFonts w:ascii="Arial" w:hAnsi="Arial" w:cs="Arial"/>
              <w:b/>
            </w:rPr>
            <w:t xml:space="preserve">Councillors’ Forum </w:t>
          </w:r>
        </w:p>
      </w:tc>
    </w:tr>
    <w:tr w:rsidR="002200C4" w14:paraId="639B96D0" w14:textId="77777777" w:rsidTr="00577C2C">
      <w:trPr>
        <w:trHeight w:val="450"/>
      </w:trPr>
      <w:tc>
        <w:tcPr>
          <w:tcW w:w="6237" w:type="dxa"/>
          <w:vMerge/>
          <w:vAlign w:val="center"/>
          <w:hideMark/>
        </w:tcPr>
        <w:p w14:paraId="639B96CC" w14:textId="77777777" w:rsidR="002200C4" w:rsidRDefault="002200C4" w:rsidP="00F003D5">
          <w:pPr>
            <w:spacing w:line="240" w:lineRule="auto"/>
            <w:rPr>
              <w:rFonts w:ascii="Arial" w:eastAsia="Times New Roman" w:hAnsi="Arial" w:cs="Arial"/>
              <w:szCs w:val="20"/>
            </w:rPr>
          </w:pPr>
        </w:p>
      </w:tc>
      <w:tc>
        <w:tcPr>
          <w:tcW w:w="3050" w:type="dxa"/>
        </w:tcPr>
        <w:p w14:paraId="639B96CF" w14:textId="39A9F1F7" w:rsidR="002200C4" w:rsidRPr="00577C2C" w:rsidRDefault="00577C2C" w:rsidP="00F003D5">
          <w:pPr>
            <w:pStyle w:val="Header"/>
            <w:spacing w:before="60"/>
            <w:rPr>
              <w:rFonts w:ascii="Arial" w:hAnsi="Arial" w:cs="Arial"/>
            </w:rPr>
          </w:pPr>
          <w:r>
            <w:rPr>
              <w:rFonts w:ascii="Arial" w:hAnsi="Arial" w:cs="Arial"/>
            </w:rPr>
            <w:t>20 October 2016</w:t>
          </w:r>
        </w:p>
      </w:tc>
    </w:tr>
    <w:tr w:rsidR="00577C2C" w14:paraId="639B96D3" w14:textId="77777777" w:rsidTr="00577C2C">
      <w:trPr>
        <w:gridAfter w:val="1"/>
        <w:wAfter w:w="3050" w:type="dxa"/>
        <w:trHeight w:val="453"/>
      </w:trPr>
      <w:tc>
        <w:tcPr>
          <w:tcW w:w="6237" w:type="dxa"/>
          <w:vMerge/>
          <w:vAlign w:val="center"/>
          <w:hideMark/>
        </w:tcPr>
        <w:p w14:paraId="639B96D1" w14:textId="77777777" w:rsidR="00577C2C" w:rsidRDefault="00577C2C" w:rsidP="00F003D5">
          <w:pPr>
            <w:spacing w:line="240" w:lineRule="auto"/>
            <w:rPr>
              <w:rFonts w:ascii="Arial" w:eastAsia="Times New Roman" w:hAnsi="Arial" w:cs="Arial"/>
              <w:szCs w:val="20"/>
            </w:rPr>
          </w:pPr>
        </w:p>
      </w:tc>
    </w:tr>
  </w:tbl>
  <w:p w14:paraId="639B96D4" w14:textId="77777777" w:rsidR="002200C4" w:rsidRDefault="002200C4" w:rsidP="00577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2"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A177E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9"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num w:numId="1">
    <w:abstractNumId w:val="1"/>
  </w:num>
  <w:num w:numId="2">
    <w:abstractNumId w:val="8"/>
  </w:num>
  <w:num w:numId="3">
    <w:abstractNumId w:val="9"/>
  </w:num>
  <w:num w:numId="4">
    <w:abstractNumId w:val="2"/>
  </w:num>
  <w:num w:numId="5">
    <w:abstractNumId w:val="0"/>
  </w:num>
  <w:num w:numId="6">
    <w:abstractNumId w:val="5"/>
  </w:num>
  <w:num w:numId="7">
    <w:abstractNumId w:val="3"/>
  </w:num>
  <w:num w:numId="8">
    <w:abstractNumId w:val="4"/>
  </w:num>
  <w:num w:numId="9">
    <w:abstractNumId w:val="7"/>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329F0"/>
    <w:rsid w:val="00037CA7"/>
    <w:rsid w:val="00045988"/>
    <w:rsid w:val="00047DCD"/>
    <w:rsid w:val="00076F3B"/>
    <w:rsid w:val="0008190C"/>
    <w:rsid w:val="00082A46"/>
    <w:rsid w:val="00082C92"/>
    <w:rsid w:val="00090E32"/>
    <w:rsid w:val="000B079B"/>
    <w:rsid w:val="000B7305"/>
    <w:rsid w:val="000E7BD5"/>
    <w:rsid w:val="000F3466"/>
    <w:rsid w:val="00104F07"/>
    <w:rsid w:val="00114955"/>
    <w:rsid w:val="0012328E"/>
    <w:rsid w:val="0012627A"/>
    <w:rsid w:val="001664BE"/>
    <w:rsid w:val="0018126D"/>
    <w:rsid w:val="00185B69"/>
    <w:rsid w:val="00190A03"/>
    <w:rsid w:val="001D2A85"/>
    <w:rsid w:val="001D3341"/>
    <w:rsid w:val="001D4172"/>
    <w:rsid w:val="001D4651"/>
    <w:rsid w:val="001E1E79"/>
    <w:rsid w:val="001E5002"/>
    <w:rsid w:val="001F11D2"/>
    <w:rsid w:val="001F2C8B"/>
    <w:rsid w:val="002200C4"/>
    <w:rsid w:val="0023252B"/>
    <w:rsid w:val="00243B13"/>
    <w:rsid w:val="00295048"/>
    <w:rsid w:val="002B0753"/>
    <w:rsid w:val="002D2216"/>
    <w:rsid w:val="002D673B"/>
    <w:rsid w:val="002D67BA"/>
    <w:rsid w:val="002E0E7A"/>
    <w:rsid w:val="002E6370"/>
    <w:rsid w:val="002F11B5"/>
    <w:rsid w:val="002F1AFE"/>
    <w:rsid w:val="002F4F28"/>
    <w:rsid w:val="0031229C"/>
    <w:rsid w:val="0031784F"/>
    <w:rsid w:val="0033619F"/>
    <w:rsid w:val="003535A0"/>
    <w:rsid w:val="00365D64"/>
    <w:rsid w:val="00370C75"/>
    <w:rsid w:val="00381E2B"/>
    <w:rsid w:val="003A5597"/>
    <w:rsid w:val="003A720C"/>
    <w:rsid w:val="003B276F"/>
    <w:rsid w:val="003B2CC8"/>
    <w:rsid w:val="003B51E3"/>
    <w:rsid w:val="003D51A7"/>
    <w:rsid w:val="00412D0B"/>
    <w:rsid w:val="00421F1C"/>
    <w:rsid w:val="00434DE9"/>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516D2"/>
    <w:rsid w:val="00577757"/>
    <w:rsid w:val="00577C2C"/>
    <w:rsid w:val="00591FA2"/>
    <w:rsid w:val="005D36B2"/>
    <w:rsid w:val="005D43FE"/>
    <w:rsid w:val="005E1FDB"/>
    <w:rsid w:val="005E5DA2"/>
    <w:rsid w:val="006013A0"/>
    <w:rsid w:val="0060292C"/>
    <w:rsid w:val="0060569F"/>
    <w:rsid w:val="00611D8A"/>
    <w:rsid w:val="00631761"/>
    <w:rsid w:val="00635E07"/>
    <w:rsid w:val="006407DD"/>
    <w:rsid w:val="00644CB6"/>
    <w:rsid w:val="00656C04"/>
    <w:rsid w:val="00660A47"/>
    <w:rsid w:val="006714B5"/>
    <w:rsid w:val="006774C0"/>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807DC5"/>
    <w:rsid w:val="008102B0"/>
    <w:rsid w:val="00810C24"/>
    <w:rsid w:val="00820E9B"/>
    <w:rsid w:val="0082395C"/>
    <w:rsid w:val="00830D44"/>
    <w:rsid w:val="0083372F"/>
    <w:rsid w:val="0085044F"/>
    <w:rsid w:val="00862AAE"/>
    <w:rsid w:val="008670C1"/>
    <w:rsid w:val="00874279"/>
    <w:rsid w:val="008A03C6"/>
    <w:rsid w:val="008A71D5"/>
    <w:rsid w:val="008B0609"/>
    <w:rsid w:val="008B39A7"/>
    <w:rsid w:val="008D4755"/>
    <w:rsid w:val="008D4D27"/>
    <w:rsid w:val="008E69C3"/>
    <w:rsid w:val="008E6D41"/>
    <w:rsid w:val="008F0DCB"/>
    <w:rsid w:val="008F7646"/>
    <w:rsid w:val="0093308E"/>
    <w:rsid w:val="009422FB"/>
    <w:rsid w:val="00964153"/>
    <w:rsid w:val="009703E1"/>
    <w:rsid w:val="009867FF"/>
    <w:rsid w:val="009B0775"/>
    <w:rsid w:val="009B1D5F"/>
    <w:rsid w:val="009F0DC2"/>
    <w:rsid w:val="009F3728"/>
    <w:rsid w:val="00A0711E"/>
    <w:rsid w:val="00A16A77"/>
    <w:rsid w:val="00A208E5"/>
    <w:rsid w:val="00A43E45"/>
    <w:rsid w:val="00A45420"/>
    <w:rsid w:val="00A64426"/>
    <w:rsid w:val="00A66877"/>
    <w:rsid w:val="00A97ABE"/>
    <w:rsid w:val="00AD587D"/>
    <w:rsid w:val="00AE535C"/>
    <w:rsid w:val="00AE616A"/>
    <w:rsid w:val="00AF249B"/>
    <w:rsid w:val="00B00B90"/>
    <w:rsid w:val="00B03EDB"/>
    <w:rsid w:val="00B075A5"/>
    <w:rsid w:val="00B31559"/>
    <w:rsid w:val="00B47C65"/>
    <w:rsid w:val="00B577E4"/>
    <w:rsid w:val="00B648FB"/>
    <w:rsid w:val="00B65F82"/>
    <w:rsid w:val="00B87D94"/>
    <w:rsid w:val="00B950F7"/>
    <w:rsid w:val="00BA039F"/>
    <w:rsid w:val="00BA23AD"/>
    <w:rsid w:val="00BB2342"/>
    <w:rsid w:val="00BB2444"/>
    <w:rsid w:val="00BC31AC"/>
    <w:rsid w:val="00BE015A"/>
    <w:rsid w:val="00BE12B0"/>
    <w:rsid w:val="00BE7AB1"/>
    <w:rsid w:val="00BF4811"/>
    <w:rsid w:val="00C04874"/>
    <w:rsid w:val="00C072CD"/>
    <w:rsid w:val="00C15409"/>
    <w:rsid w:val="00C55A34"/>
    <w:rsid w:val="00C723BD"/>
    <w:rsid w:val="00C7425A"/>
    <w:rsid w:val="00C74BE3"/>
    <w:rsid w:val="00CC285F"/>
    <w:rsid w:val="00CD34E8"/>
    <w:rsid w:val="00CE4614"/>
    <w:rsid w:val="00D06C04"/>
    <w:rsid w:val="00D1061A"/>
    <w:rsid w:val="00D20168"/>
    <w:rsid w:val="00D23390"/>
    <w:rsid w:val="00D333D8"/>
    <w:rsid w:val="00D44505"/>
    <w:rsid w:val="00D56032"/>
    <w:rsid w:val="00D64491"/>
    <w:rsid w:val="00D65592"/>
    <w:rsid w:val="00DA25EF"/>
    <w:rsid w:val="00DA7FBD"/>
    <w:rsid w:val="00DB5E06"/>
    <w:rsid w:val="00DC63BC"/>
    <w:rsid w:val="00E00401"/>
    <w:rsid w:val="00E0452E"/>
    <w:rsid w:val="00E12816"/>
    <w:rsid w:val="00E57665"/>
    <w:rsid w:val="00E603E3"/>
    <w:rsid w:val="00E720B9"/>
    <w:rsid w:val="00E80CB5"/>
    <w:rsid w:val="00E828CD"/>
    <w:rsid w:val="00E8709B"/>
    <w:rsid w:val="00EA7E10"/>
    <w:rsid w:val="00EB0796"/>
    <w:rsid w:val="00EB50E7"/>
    <w:rsid w:val="00ED2067"/>
    <w:rsid w:val="00ED4531"/>
    <w:rsid w:val="00F003D5"/>
    <w:rsid w:val="00F01F22"/>
    <w:rsid w:val="00F02F60"/>
    <w:rsid w:val="00F06AC5"/>
    <w:rsid w:val="00F14124"/>
    <w:rsid w:val="00F21DB5"/>
    <w:rsid w:val="00F27627"/>
    <w:rsid w:val="00F33F85"/>
    <w:rsid w:val="00F503AD"/>
    <w:rsid w:val="00F72743"/>
    <w:rsid w:val="00F80158"/>
    <w:rsid w:val="00F84316"/>
    <w:rsid w:val="00FE3989"/>
    <w:rsid w:val="00FE60F1"/>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94251617">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aevents.local.gov.uk/lga/frontend/reg/thome.csp?pageID=82270&amp;eventID=272&amp;eventID=272&amp;CSPCHD=001003860000Sku6KQYnXFLnM9F0rQ1isTpqNwjBz6oqfcIflr" TargetMode="External"/><Relationship Id="rId18" Type="http://schemas.openxmlformats.org/officeDocument/2006/relationships/hyperlink" Target="http://www.local.gov.uk/web/guest/media-releases/-/journal_content/56/10180/7950742/NEWS" TargetMode="External"/><Relationship Id="rId26" Type="http://schemas.openxmlformats.org/officeDocument/2006/relationships/hyperlink" Target="http://www.local.gov.uk/web/guest/media-releases/-/journal_content/56/10180/7944615/NEWS" TargetMode="External"/><Relationship Id="rId3" Type="http://schemas.openxmlformats.org/officeDocument/2006/relationships/customXml" Target="../customXml/item3.xml"/><Relationship Id="rId21" Type="http://schemas.openxmlformats.org/officeDocument/2006/relationships/hyperlink" Target="http://www.local.gov.uk/web/guest/media-releases/-/journal_content/56/10180/7963671/NEWS" TargetMode="External"/><Relationship Id="rId7" Type="http://schemas.openxmlformats.org/officeDocument/2006/relationships/settings" Target="settings.xml"/><Relationship Id="rId12" Type="http://schemas.openxmlformats.org/officeDocument/2006/relationships/hyperlink" Target="http://www.local.gov.uk/documents/10180/11779/LGA+submission+to+the+Carers+strategy+call+for+evidence+July+2016/565f49cb-90bb-44ea-8705-9a56eeb183c4" TargetMode="External"/><Relationship Id="rId17" Type="http://schemas.openxmlformats.org/officeDocument/2006/relationships/hyperlink" Target="http://health.housing.org.uk/" TargetMode="External"/><Relationship Id="rId25" Type="http://schemas.openxmlformats.org/officeDocument/2006/relationships/hyperlink" Target="http://www.local.gov.uk/web/guest/media-releases/-/journal_content/56/10180/7949952/NEWS" TargetMode="External"/><Relationship Id="rId2" Type="http://schemas.openxmlformats.org/officeDocument/2006/relationships/customXml" Target="../customXml/item2.xml"/><Relationship Id="rId16" Type="http://schemas.openxmlformats.org/officeDocument/2006/relationships/hyperlink" Target="http://www.local.gov.uk/media-releases/-/journal_content/56/10180/7956095/NEWS" TargetMode="External"/><Relationship Id="rId20" Type="http://schemas.openxmlformats.org/officeDocument/2006/relationships/hyperlink" Target="http://www.local.gov.uk/web/guest/media-releases/-/journal_content/56/10180/7955095/NEW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m-trust.org/wp-content/uploads/2016/08/Our-Community-Our-Covenant-Report-30.08.16.pdf" TargetMode="External"/><Relationship Id="rId24" Type="http://schemas.openxmlformats.org/officeDocument/2006/relationships/hyperlink" Target="http://www.local.gov.uk/web/guest/media-releases/-/journal_content/56/10180/7970049/NEWS" TargetMode="External"/><Relationship Id="rId5" Type="http://schemas.openxmlformats.org/officeDocument/2006/relationships/numbering" Target="numbering.xml"/><Relationship Id="rId15" Type="http://schemas.openxmlformats.org/officeDocument/2006/relationships/hyperlink" Target="http://www.local.gov.uk/documents/10180/11779/health+-+adult+social+care+-+LGA+Interim+Statement+on+Future+Funding+for+Supported+Housing_webversion.pdf/90ae1cf2-d1d8-44df-a926-c6b611e2b59d" TargetMode="External"/><Relationship Id="rId23" Type="http://schemas.openxmlformats.org/officeDocument/2006/relationships/hyperlink" Target="http://www.local.gov.uk/web/guest/media-releases/-/journal_content/56/10180/7969424/NEWS" TargetMode="External"/><Relationship Id="rId28" Type="http://schemas.openxmlformats.org/officeDocument/2006/relationships/hyperlink" Target="mailto:mark.norris@local.gov.uk" TargetMode="External"/><Relationship Id="rId10" Type="http://schemas.openxmlformats.org/officeDocument/2006/relationships/endnotes" Target="endnotes.xml"/><Relationship Id="rId19" Type="http://schemas.openxmlformats.org/officeDocument/2006/relationships/hyperlink" Target="http://www.local.gov.uk/web/guest/media-releases/-/journal_content/56/10180/7951950/NEW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camhs" TargetMode="External"/><Relationship Id="rId22" Type="http://schemas.openxmlformats.org/officeDocument/2006/relationships/hyperlink" Target="http://www.local.gov.uk/web/guest/media-releases/-/journal_content/56/10180/7965884/NEWS" TargetMode="External"/><Relationship Id="rId27" Type="http://schemas.openxmlformats.org/officeDocument/2006/relationships/hyperlink" Target="http://www.local.gov.uk/web/guest/media-releases/-/journal_content/56/10180/7957469/NEW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DEBF99B360B4A91AAE37C2BC41E3B" ma:contentTypeVersion="4" ma:contentTypeDescription="Create a new document." ma:contentTypeScope="" ma:versionID="e760f2f6219ca9beb13be74d7c6f0005">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5911-FF24-4BDE-8297-4BC493C0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3F701-698B-4B71-B8EB-D5B786682DBA}">
  <ds:schemaRefs>
    <ds:schemaRef ds:uri="http://schemas.microsoft.com/sharepoint/v3/contenttype/forms"/>
  </ds:schemaRefs>
</ds:datastoreItem>
</file>

<file path=customXml/itemProps3.xml><?xml version="1.0" encoding="utf-8"?>
<ds:datastoreItem xmlns:ds="http://schemas.openxmlformats.org/officeDocument/2006/customXml" ds:itemID="{9E88BE63-189C-4159-A29A-90DC91BD306B}">
  <ds:schemaRefs>
    <ds:schemaRef ds:uri="c8febe6a-14d9-43ab-83c3-c48f478fa47c"/>
    <ds:schemaRef ds:uri="http://purl.org/dc/terms/"/>
    <ds:schemaRef ds:uri="http://schemas.microsoft.com/office/2006/documentManagement/types"/>
    <ds:schemaRef ds:uri="http://purl.org/dc/elements/1.1/"/>
    <ds:schemaRef ds:uri="http://www.w3.org/XML/1998/namespace"/>
    <ds:schemaRef ds:uri="http://purl.org/dc/dcmitype/"/>
    <ds:schemaRef ds:uri="1c8a0e75-f4bc-4eb4-8ed0-578eaea9e1c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C901CCE-9620-4BC4-8B1E-A93F8DCB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384D4ABD.dotm</Template>
  <TotalTime>6</TotalTime>
  <Pages>2</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Frances Marshall</cp:lastModifiedBy>
  <cp:revision>7</cp:revision>
  <cp:lastPrinted>2015-06-01T08:35:00Z</cp:lastPrinted>
  <dcterms:created xsi:type="dcterms:W3CDTF">2016-10-11T08:54:00Z</dcterms:created>
  <dcterms:modified xsi:type="dcterms:W3CDTF">2016-10-13T16:34:00Z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0x010100FD2DEBF99B360B4A91AAE37C2BC41E3B</vt:lpwstr>
  </property>
</Properties>
</file>